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3"/>
      </w:tblGrid>
      <w:tr w:rsidR="005916E3" w:rsidRPr="000A33CB" w14:paraId="08098246" w14:textId="77777777" w:rsidTr="005916E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E83F98D" w14:textId="4234D89F" w:rsidR="005916E3" w:rsidRPr="000A33CB" w:rsidRDefault="005916E3" w:rsidP="002F3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Հայաստանի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Հանրապետության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Սյունիքի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մարզի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Քաջարան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համայնքի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 «</w:t>
            </w:r>
            <w:proofErr w:type="spellStart"/>
            <w:proofErr w:type="gram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Քաջարանի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թիվ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2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մսուր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մանկապարտեզ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 xml:space="preserve"> » ՀՈԱԿ</w:t>
            </w:r>
          </w:p>
        </w:tc>
      </w:tr>
      <w:tr w:rsidR="005916E3" w:rsidRPr="000A33CB" w14:paraId="7C64DE61" w14:textId="77777777" w:rsidTr="005916E3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FD7680E" w14:textId="77777777" w:rsidR="005916E3" w:rsidRDefault="005916E3" w:rsidP="002F3D06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5BFDCDE" w14:textId="77777777" w:rsidR="005916E3" w:rsidRPr="000A33CB" w:rsidRDefault="005916E3" w:rsidP="002F3D06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ՀԱՅՏԱՐԱՐՈՒԹՅՈՒՆ</w:t>
            </w:r>
          </w:p>
          <w:p w14:paraId="1C890D30" w14:textId="1331F65F" w:rsidR="005916E3" w:rsidRPr="000A33CB" w:rsidRDefault="005916E3" w:rsidP="004A5C15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="004A5C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Սյունիքի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մարզի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Քաջարան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համայնքի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Քաջարանի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թիվ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proofErr w:type="gram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մսուր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մանկապարտեզ</w:t>
            </w:r>
            <w:proofErr w:type="spellEnd"/>
            <w:proofErr w:type="gramEnd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»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ՀՈԱԿ–ը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հայտարարում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է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մրցույթ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հաստատության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հետևյալ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թափուր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պաշտոնների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14:paraId="50CBAA6D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14:paraId="3055F615" w14:textId="77777777" w:rsidR="005916E3" w:rsidRPr="000A33CB" w:rsidRDefault="005916E3" w:rsidP="00025092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0A33CB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A5C15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Դաստիար</w:t>
            </w: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ակ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՝</w:t>
            </w:r>
            <w:r w:rsidRPr="000A33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 </w:t>
            </w:r>
            <w:r w:rsidR="00A813C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2,34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հաստիքային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միավոր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դրույքաչափը</w:t>
            </w:r>
            <w:proofErr w:type="spellEnd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՝</w:t>
            </w: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341,760 </w:t>
            </w:r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ՀՀ</w:t>
            </w: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դրամ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6CCE5F57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0A33CB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լիազորություններ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և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պարտականություններ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</w:p>
          <w:p w14:paraId="442C7308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պլանավորում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ուսուցումն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դաստիարակությունը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կենսագործունեությունը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չափորոշիչներին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7845DF6E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ուսումնասիրում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անհատական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ունակությունները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հետաքրքրությունները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հակումները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2B9983E3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նպաստում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տարբեր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հանդեպ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հետաքրքրասիրության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բացահայտմանը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3B6557EF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շեղման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վնասակար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սովորությունների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վերացման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39EB35B4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ամենօրյա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սոցիալ-հոգեբանական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հարմարունակության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ադապտացիայի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0F7817FB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բուժանձնակազմի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համատեղ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կանոնավոր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համալիր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միջոցառումներ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առողջության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ամրապնդմանը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զարգացմանը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14:paraId="0D3CA6A4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տարվող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ուսումնադաստիարակչական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գործընթացում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երաշխավորված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ձեռնարկներ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մանկավարժական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մեթոդներ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6AD1ACBB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առօրյան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ուսումնադաստիարակչական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իրականացնելու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08DC62E5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ակտիվորեն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մեթոդկաբինետի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09CAA078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ֆիզհրահանգչի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մանկավարժական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աշխատողների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նախապատրաստում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ժամանցային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պարապմունքները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3D7AD4B1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11)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ժամանակին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տնօրինությանը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բուժքրոջը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ծնողներին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առողջական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վիճակի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2C3E4D83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12)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հաճախումների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մատյանը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6D3071CE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13)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վերլուծում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իրականացվող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ուսումնադաստիարակչական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գործընթացը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ինքնավերլուծություն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768AD628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14)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մանկավարժական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նիստերին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խորհրդատվություններին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4746B325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15)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ծնողների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ընտանիքում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երեխաների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ուղղությամբ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ներգրավում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խթանում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ակտիվ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համագործակցությանը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7E535A98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16)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խնամքով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վերաբերվում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հատկացված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պիտույքներին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5EC77659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17)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խաղալիքների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հաշվառումը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25141B5C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18)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համագործակցում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օգնականի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0F6A68E6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19)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ժամանակացույցի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բժշկական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զննություն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0046F62E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զբաղեցնողը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է՝</w:t>
            </w:r>
          </w:p>
          <w:p w14:paraId="3D5F0626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տիրապետի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ժամանակակից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աշխատելու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հմտություններին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017BA592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իմանա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ստորև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նորմատիվ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դրույթները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որոնք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վերաբերում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բնագավառին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կանոնակարգում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նկարագրով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ամրագրված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լիազորությունները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</w:p>
          <w:p w14:paraId="7F8B71A8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Սահմանադրությունը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Երեխայի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իրավունքների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Լիցենզավորման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օրենքները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օրենսգիրքը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օրինակելի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կանոնադրությունը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չափորոշիչը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նորմատիվ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23942CE6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բ.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մանկավարժության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ֆիզիոլոգիայի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հիգիենայի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դաստիարակչական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մեթոդիկայի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հիմունքները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068B441B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Որակավորման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պահանջները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հաստատության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դաստիարակի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պաշտոն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զբաղեցնողը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պետք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ունենա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միջին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բարձրագույն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կրթություն</w:t>
            </w:r>
            <w:proofErr w:type="spellEnd"/>
            <w:r w:rsidRPr="000A33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բակալավր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դիպլոմավորված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մասնագետ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մագիստրոս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)`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որակավորմամբ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միջին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բարձրագույն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մանկավարժական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կրթություն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վերջին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տասը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տարվա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ընթացքում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կրթության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ոլորտում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առնվազն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երեք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տարվա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մանկավարժական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ստաժ</w:t>
            </w:r>
            <w:proofErr w:type="spellEnd"/>
            <w:r w:rsidRPr="000A33C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14:paraId="27C07D67" w14:textId="77777777" w:rsidR="005916E3" w:rsidRDefault="005916E3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A33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14:paraId="1E9797BC" w14:textId="77777777" w:rsidR="004A5C15" w:rsidRDefault="004A5C15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38A4CD6E" w14:textId="77777777" w:rsidR="004A5C15" w:rsidRDefault="004A5C15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2569CF67" w14:textId="77777777" w:rsidR="004A5C15" w:rsidRDefault="004A5C15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7465F1C" w14:textId="77777777" w:rsidR="00C254CD" w:rsidRDefault="00C254CD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1BB93F6" w14:textId="77777777" w:rsidR="00C254CD" w:rsidRPr="00432409" w:rsidRDefault="00C254CD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</w:pPr>
          </w:p>
          <w:p w14:paraId="6427EF39" w14:textId="77777777" w:rsidR="00C254CD" w:rsidRDefault="00C254CD" w:rsidP="002F3D06">
            <w:pPr>
              <w:spacing w:after="15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B115A03" w14:textId="77777777" w:rsidR="004A5C15" w:rsidRPr="000A33CB" w:rsidRDefault="004A5C15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13B70C0B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Մրցույթի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փաստաթղթերը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1)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դիմում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Ձև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1),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2)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փաստաթուղթ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դիպլոմ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3)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անձը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հաստատող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փաստաթուղթ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4)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ստաժի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տեղեկանք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գրքույկ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առկայության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դեպքում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 xml:space="preserve">5)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ինքնակենսագրություն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4),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6)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լուսանկար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 3x4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չափի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7)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պետությունների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քաղաքացիները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աշխատելու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իրավունքը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հավաստող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փաստաթուղթ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8)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արական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սեռի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քաղաքացիները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ներկայացնում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զինվորական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գրքույկ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զինվորական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կցագրման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վկայական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 xml:space="preserve">9)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հրատարակված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հոդվածների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ցանկ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գիտական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կոչումը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հավաստող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դրանց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առկայության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)։</w:t>
            </w:r>
          </w:p>
          <w:p w14:paraId="7055CBA6" w14:textId="77777777" w:rsidR="005916E3" w:rsidRPr="000A33CB" w:rsidRDefault="005916E3" w:rsidP="009D7B3A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Փաստաթղթերն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ընդունվում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ՀՀ</w:t>
            </w:r>
            <w:proofErr w:type="gram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Սյունիքի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մարզ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Քաջարան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համայնք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քաղաք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Քաջարան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Չարենցի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հասցեում</w:t>
            </w:r>
            <w:proofErr w:type="spellEnd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2026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ունվարի 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91304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ից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230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մինչև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փետրվարի </w:t>
            </w:r>
            <w:r w:rsidR="0034516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11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ը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ներառյալ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ամեն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օր</w:t>
            </w:r>
            <w:proofErr w:type="spellEnd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ժամը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10:00-ից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16:00-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ն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բացի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շաբաթ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և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կիրակի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օրերից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26728E5A" w14:textId="4FDEF516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մասնակցել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ցանկացող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քաղաքացիները</w:t>
            </w:r>
            <w:proofErr w:type="spellEnd"/>
            <w:proofErr w:type="gram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կարող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հայտարարությանը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հետևել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4" w:history="1">
              <w:r w:rsidRPr="000A33CB">
                <w:rPr>
                  <w:rFonts w:ascii="GHEA Grapalat" w:eastAsia="Times New Roman" w:hAnsi="GHEA Grapalat" w:cs="Times New Roman"/>
                  <w:color w:val="1A0DAB"/>
                  <w:sz w:val="24"/>
                  <w:szCs w:val="24"/>
                  <w:u w:val="single"/>
                </w:rPr>
                <w:t>www.kajaran.am</w:t>
              </w:r>
            </w:hyperlink>
            <w:r w:rsidR="00C254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913044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  <w:r w:rsidR="00C254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</w:t>
            </w:r>
            <w:r w:rsidR="00C254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C254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Սյունիքի մարզի Մարզպետարանի պաշտոնական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կայքերում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13CBCDAB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Փաստաթղթերը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պետք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անձամբ</w:t>
            </w:r>
            <w:proofErr w:type="spellEnd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անձը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հաստատող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փաստաթղթով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0C9DCABA" w14:textId="15144396" w:rsidR="005916E3" w:rsidRPr="00C5328C" w:rsidRDefault="005916E3" w:rsidP="002F3D06">
            <w:pPr>
              <w:spacing w:after="150" w:line="240" w:lineRule="auto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անց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proofErr w:type="gram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կացվելու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proofErr w:type="gram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թվականի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փետրվարի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1A0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ին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ժամը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10:00-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ին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ՀՀ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Սյունիքի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մարզի</w:t>
            </w:r>
            <w:proofErr w:type="spellEnd"/>
            <w:r w:rsidR="00C34E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Քաջարաի</w:t>
            </w:r>
            <w:proofErr w:type="spell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համայնքի</w:t>
            </w:r>
            <w:r w:rsidR="00C34E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Չարենցի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հասցեում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1C76FE7D" w14:textId="77777777" w:rsidR="005916E3" w:rsidRPr="006D6963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69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Մրցույթն</w:t>
            </w:r>
            <w:r w:rsidRPr="006D69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69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անց</w:t>
            </w:r>
            <w:r w:rsidRPr="006D69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69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D69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69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կացվելու</w:t>
            </w:r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D69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երկու</w:t>
            </w:r>
            <w:r w:rsidRPr="006D69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69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փուլով</w:t>
            </w:r>
            <w:r w:rsidRPr="006D69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`</w:t>
            </w:r>
            <w:r w:rsidRPr="006D69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D69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գրավոր և բանավոր</w:t>
            </w:r>
            <w:r w:rsidRPr="006D69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14:paraId="1C0DCEBD" w14:textId="77777777" w:rsidR="005916E3" w:rsidRPr="006D6963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D69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Հարցաշարին ծանոթանալու համար կարող եք անցնել հետևյալ հղումով </w:t>
            </w:r>
            <w:hyperlink r:id="rId5" w:history="1">
              <w:r w:rsidRPr="006D6963">
                <w:rPr>
                  <w:rFonts w:ascii="GHEA Grapalat" w:eastAsia="Times New Roman" w:hAnsi="GHEA Grapalat" w:cs="Times New Roman"/>
                  <w:color w:val="1A0DAB"/>
                  <w:sz w:val="24"/>
                  <w:szCs w:val="24"/>
                  <w:u w:val="single"/>
                  <w:lang w:val="hy-AM"/>
                </w:rPr>
                <w:t>https://escs.am/am/news/11978</w:t>
              </w:r>
            </w:hyperlink>
          </w:p>
          <w:p w14:paraId="58C0ED85" w14:textId="77777777" w:rsidR="005916E3" w:rsidRPr="000A33CB" w:rsidRDefault="005916E3" w:rsidP="002F3D06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զանգահարել</w:t>
            </w:r>
            <w:proofErr w:type="spellEnd"/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</w:t>
            </w:r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+374 </w:t>
            </w:r>
            <w:proofErr w:type="gramStart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94820962</w:t>
            </w:r>
            <w:r w:rsidR="00251AA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A33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0A33C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հեռախոսահամարին</w:t>
            </w:r>
            <w:proofErr w:type="spellEnd"/>
            <w:proofErr w:type="gramEnd"/>
            <w:r w:rsidRPr="000A33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44B431FD" w14:textId="77777777" w:rsidR="005916E3" w:rsidRDefault="005916E3" w:rsidP="005916E3">
      <w:pPr>
        <w:rPr>
          <w:rFonts w:ascii="GHEA Grapalat" w:hAnsi="GHEA Grapalat"/>
        </w:rPr>
      </w:pPr>
    </w:p>
    <w:p w14:paraId="4FEE8F66" w14:textId="77777777" w:rsidR="00A63BFC" w:rsidRDefault="00A63BFC" w:rsidP="00A63BFC">
      <w:pPr>
        <w:jc w:val="center"/>
        <w:rPr>
          <w:sz w:val="48"/>
          <w:lang w:val="en-GB"/>
        </w:rPr>
      </w:pPr>
    </w:p>
    <w:p w14:paraId="0E0029C1" w14:textId="77777777" w:rsidR="00A63BFC" w:rsidRPr="00A63BFC" w:rsidRDefault="00A63BFC" w:rsidP="00A63BFC">
      <w:pPr>
        <w:jc w:val="center"/>
        <w:rPr>
          <w:sz w:val="48"/>
          <w:lang w:val="en-GB"/>
        </w:rPr>
      </w:pPr>
    </w:p>
    <w:sectPr w:rsidR="00A63BFC" w:rsidRPr="00A63BFC" w:rsidSect="004A5C15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1A"/>
    <w:rsid w:val="00025092"/>
    <w:rsid w:val="001A037D"/>
    <w:rsid w:val="00230889"/>
    <w:rsid w:val="00243C1A"/>
    <w:rsid w:val="00251AA8"/>
    <w:rsid w:val="002E5DE9"/>
    <w:rsid w:val="0034516E"/>
    <w:rsid w:val="00432409"/>
    <w:rsid w:val="004A5C15"/>
    <w:rsid w:val="005916E3"/>
    <w:rsid w:val="006D6963"/>
    <w:rsid w:val="0089234C"/>
    <w:rsid w:val="00913044"/>
    <w:rsid w:val="009D7B3A"/>
    <w:rsid w:val="00A03468"/>
    <w:rsid w:val="00A63BFC"/>
    <w:rsid w:val="00A813C7"/>
    <w:rsid w:val="00B13C34"/>
    <w:rsid w:val="00C254CD"/>
    <w:rsid w:val="00C34E5F"/>
    <w:rsid w:val="00F739FD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6CE"/>
  <w15:chartTrackingRefBased/>
  <w15:docId w15:val="{1BB49DA1-B1CA-40B4-A553-209774E9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BF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13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hyperlink" Target="http://www.kajaran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cp:lastPrinted>2026-01-14T11:30:00Z</cp:lastPrinted>
  <dcterms:created xsi:type="dcterms:W3CDTF">2026-01-09T08:06:00Z</dcterms:created>
  <dcterms:modified xsi:type="dcterms:W3CDTF">2026-01-14T11:36:00Z</dcterms:modified>
</cp:coreProperties>
</file>